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2731ab02475431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1479" w:rsidRDefault="003A1428" w:rsidP="00B21479">
      <w:r>
        <w:rPr>
          <w:noProof/>
        </w:rPr>
        <mc:AlternateContent>
          <mc:Choice Requires="wps">
            <w:drawing>
              <wp:anchor distT="0" distB="0" distL="114300" distR="114300" simplePos="0" relativeHeight="251663360" behindDoc="0" locked="0" layoutInCell="1" allowOverlap="1" wp14:anchorId="7D2B1BFD" wp14:editId="79DDA7F3">
                <wp:simplePos x="0" y="0"/>
                <wp:positionH relativeFrom="column">
                  <wp:posOffset>-58420</wp:posOffset>
                </wp:positionH>
                <wp:positionV relativeFrom="paragraph">
                  <wp:posOffset>0</wp:posOffset>
                </wp:positionV>
                <wp:extent cx="10477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3A1428" w:rsidRPr="003A1428" w:rsidRDefault="003A1428">
                            <w:pPr>
                              <w:rPr>
                                <w:rFonts w:ascii="Arial" w:hAnsi="Arial" w:cs="Arial"/>
                              </w:rPr>
                            </w:pPr>
                            <w:r w:rsidRPr="003A1428">
                              <w:rPr>
                                <w:rFonts w:ascii="Arial" w:hAnsi="Arial" w:cs="Arial"/>
                              </w:rPr>
                              <w:t>Appendix 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0;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">
                <v:textbox>
                  <w:txbxContent>
                    <w:p w:rsidR="003A1428" w:rsidRPr="003A1428" w:rsidRDefault="003A1428">
                      <w:pPr>
                        <w:rPr>
                          <w:rFonts w:ascii="Arial" w:hAnsi="Arial" w:cs="Arial"/>
                        </w:rPr>
                      </w:pPr>
                      <w:r w:rsidRPr="003A1428">
                        <w:rPr>
                          <w:rFonts w:ascii="Arial" w:hAnsi="Arial" w:cs="Arial"/>
                        </w:rPr>
                        <w:t>Appendix 2b</w:t>
                      </w:r>
                    </w:p>
                  </w:txbxContent>
                </v:textbox>
              </v:shape>
            </w:pict>
          </mc:Fallback>
        </mc:AlternateConten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8"/>
        <w:gridCol w:w="1388"/>
      </w:tblGrid>
      <w:tr w:rsidR="003A1428" w:rsidRPr="00270D24" w:rsidTr="00DB40C1">
        <w:trPr>
          <w:trHeight w:val="1629"/>
        </w:trPr>
        <w:tc>
          <w:tcPr>
            <w:tcW w:w="7868" w:type="dxa"/>
            <w:vAlign w:val="bottom"/>
          </w:tcPr>
          <w:p w:rsidR="003A1428" w:rsidRPr="00270D24" w:rsidRDefault="003A1428" w:rsidP="00DB40C1">
            <w:pPr>
              <w:tabs>
                <w:tab w:val="center" w:pos="4153"/>
                <w:tab w:val="right" w:pos="8306"/>
              </w:tabs>
              <w:spacing w:after="120"/>
              <w:jc w:val="right"/>
              <w:rPr>
                <w:rFonts w:ascii="Cambria" w:hAnsi="Cambria"/>
                <w:sz w:val="40"/>
                <w:szCs w:val="40"/>
              </w:rPr>
            </w:pPr>
            <w:r w:rsidRPr="00270D24">
              <w:rPr>
                <w:rFonts w:ascii="Cambria" w:hAnsi="Cambria"/>
                <w:sz w:val="40"/>
                <w:szCs w:val="40"/>
              </w:rPr>
              <w:t>Human Resources and Facilities</w:t>
            </w:r>
          </w:p>
        </w:tc>
        <w:tc>
          <w:tcPr>
            <w:tcW w:w="1388" w:type="dxa"/>
          </w:tcPr>
          <w:p w:rsidR="003A1428" w:rsidRPr="00270D24" w:rsidRDefault="003A1428" w:rsidP="00DB40C1">
            <w:pPr>
              <w:tabs>
                <w:tab w:val="center" w:pos="4153"/>
                <w:tab w:val="right" w:pos="8306"/>
              </w:tabs>
              <w:spacing w:after="120"/>
              <w:rPr>
                <w:rFonts w:ascii="Cambria" w:hAnsi="Cambria"/>
                <w:b/>
                <w:bCs/>
                <w:color w:val="4F81BD"/>
                <w:sz w:val="36"/>
                <w:szCs w:val="36"/>
              </w:rPr>
            </w:pPr>
          </w:p>
        </w:tc>
      </w:tr>
    </w:tbl>
    <w:p w:rsidR="003A1428" w:rsidRDefault="003A1428" w:rsidP="00B21479">
      <w:r>
        <w:rPr>
          <w:noProof/>
        </w:rPr>
        <w:drawing>
          <wp:anchor distT="0" distB="0" distL="114300" distR="114300" simplePos="0" relativeHeight="251661312" behindDoc="1" locked="1" layoutInCell="1" allowOverlap="1">
            <wp:simplePos x="0" y="0"/>
            <wp:positionH relativeFrom="column">
              <wp:posOffset>4930140</wp:posOffset>
            </wp:positionH>
            <wp:positionV relativeFrom="page">
              <wp:posOffset>605790</wp:posOffset>
            </wp:positionV>
            <wp:extent cx="885825" cy="1143000"/>
            <wp:effectExtent l="0" t="0" r="9525"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8F1" w:rsidRDefault="00935B98" w:rsidP="00EC7730">
      <w:pPr>
        <w:pStyle w:val="BodyText"/>
        <w:rPr>
          <w:rFonts w:cs="Arial"/>
          <w:b/>
          <w:bCs/>
          <w:i w:val="0"/>
        </w:rPr>
      </w:pPr>
      <w:r>
        <w:rPr>
          <w:rFonts w:cs="Arial"/>
          <w:b/>
          <w:bCs/>
          <w:i w:val="0"/>
        </w:rPr>
        <w:t xml:space="preserve">Policy Statement </w:t>
      </w:r>
      <w:r w:rsidR="005450D2">
        <w:rPr>
          <w:rFonts w:cs="Arial"/>
          <w:b/>
          <w:bCs/>
          <w:i w:val="0"/>
        </w:rPr>
        <w:t xml:space="preserve">on the </w:t>
      </w:r>
      <w:r w:rsidR="007858F1" w:rsidRPr="009035AE">
        <w:rPr>
          <w:rFonts w:cs="Arial"/>
          <w:b/>
          <w:bCs/>
          <w:i w:val="0"/>
        </w:rPr>
        <w:t>Local Government (Early Termination of Employment) (</w:t>
      </w:r>
      <w:r w:rsidR="005450D2">
        <w:rPr>
          <w:rFonts w:cs="Arial"/>
          <w:b/>
          <w:bCs/>
          <w:i w:val="0"/>
        </w:rPr>
        <w:t>D</w:t>
      </w:r>
      <w:r w:rsidR="007858F1" w:rsidRPr="009035AE">
        <w:rPr>
          <w:rFonts w:cs="Arial"/>
          <w:b/>
          <w:bCs/>
          <w:i w:val="0"/>
        </w:rPr>
        <w:t>iscretionary Compensation) (England and Wales) Regulations 2000 Discretions</w:t>
      </w:r>
    </w:p>
    <w:p w:rsidR="007858F1" w:rsidRDefault="007858F1" w:rsidP="007858F1">
      <w:pPr>
        <w:pStyle w:val="BodyText"/>
        <w:ind w:left="720" w:hanging="720"/>
        <w:rPr>
          <w:rFonts w:cs="Arial"/>
          <w:i w:val="0"/>
          <w:smallCaps/>
        </w:rPr>
      </w:pPr>
    </w:p>
    <w:p w:rsidR="00935B98" w:rsidRDefault="00935B98" w:rsidP="00EC7730">
      <w:pPr>
        <w:pStyle w:val="BodyText"/>
        <w:rPr>
          <w:rFonts w:cs="Arial"/>
          <w:i w:val="0"/>
        </w:rPr>
      </w:pPr>
      <w:r>
        <w:rPr>
          <w:rFonts w:cs="Arial"/>
          <w:i w:val="0"/>
        </w:rPr>
        <w:t xml:space="preserve">This Policy Statement is </w:t>
      </w:r>
      <w:r w:rsidR="005450D2">
        <w:rPr>
          <w:rFonts w:cs="Arial"/>
          <w:i w:val="0"/>
        </w:rPr>
        <w:t xml:space="preserve">only </w:t>
      </w:r>
      <w:r>
        <w:rPr>
          <w:rFonts w:cs="Arial"/>
          <w:i w:val="0"/>
        </w:rPr>
        <w:t xml:space="preserve">relevant to </w:t>
      </w:r>
      <w:r w:rsidR="007858F1" w:rsidRPr="009035AE">
        <w:rPr>
          <w:rFonts w:cs="Arial"/>
          <w:i w:val="0"/>
        </w:rPr>
        <w:t xml:space="preserve">pension scheme members who </w:t>
      </w:r>
      <w:r>
        <w:rPr>
          <w:rFonts w:cs="Arial"/>
          <w:i w:val="0"/>
        </w:rPr>
        <w:t>were awarded compensatory</w:t>
      </w:r>
      <w:r w:rsidR="007858F1" w:rsidRPr="009035AE">
        <w:rPr>
          <w:rFonts w:cs="Arial"/>
          <w:i w:val="0"/>
        </w:rPr>
        <w:t xml:space="preserve"> added years </w:t>
      </w:r>
      <w:r w:rsidR="00EC7730" w:rsidRPr="009035AE">
        <w:rPr>
          <w:rFonts w:cs="Arial"/>
          <w:i w:val="0"/>
        </w:rPr>
        <w:t>pension</w:t>
      </w:r>
      <w:r w:rsidR="00EC7730">
        <w:rPr>
          <w:rFonts w:cs="Arial"/>
          <w:i w:val="0"/>
        </w:rPr>
        <w:t xml:space="preserve"> upon</w:t>
      </w:r>
      <w:r>
        <w:rPr>
          <w:rFonts w:cs="Arial"/>
          <w:i w:val="0"/>
        </w:rPr>
        <w:t xml:space="preserve"> retirement</w:t>
      </w:r>
      <w:r w:rsidR="007858F1" w:rsidRPr="009035AE">
        <w:rPr>
          <w:rFonts w:cs="Arial"/>
          <w:i w:val="0"/>
        </w:rPr>
        <w:t xml:space="preserve"> under the Regulations.</w:t>
      </w:r>
    </w:p>
    <w:p w:rsidR="00935B98" w:rsidRDefault="00935B98" w:rsidP="007858F1">
      <w:pPr>
        <w:pStyle w:val="BodyText"/>
        <w:ind w:left="720" w:hanging="720"/>
        <w:rPr>
          <w:rFonts w:cs="Arial"/>
          <w:i w:val="0"/>
        </w:rPr>
      </w:pPr>
    </w:p>
    <w:p w:rsidR="00935B98" w:rsidRDefault="00935B98" w:rsidP="007858F1">
      <w:pPr>
        <w:pStyle w:val="BodyText"/>
        <w:ind w:left="720" w:hanging="720"/>
        <w:rPr>
          <w:rFonts w:cs="Arial"/>
          <w:i w:val="0"/>
        </w:rPr>
      </w:pPr>
      <w:r>
        <w:rPr>
          <w:rFonts w:cs="Arial"/>
          <w:i w:val="0"/>
        </w:rPr>
        <w:t>The Council stopped awarding compensatory added years to pension in 2008.</w:t>
      </w:r>
    </w:p>
    <w:p w:rsidR="00935B98" w:rsidRDefault="00935B98" w:rsidP="007858F1">
      <w:pPr>
        <w:pStyle w:val="BodyText"/>
        <w:ind w:left="720" w:hanging="720"/>
        <w:rPr>
          <w:rFonts w:cs="Arial"/>
          <w:i w:val="0"/>
        </w:rPr>
      </w:pPr>
    </w:p>
    <w:p w:rsidR="007858F1" w:rsidRPr="009035AE" w:rsidRDefault="007858F1" w:rsidP="007858F1">
      <w:pPr>
        <w:pStyle w:val="BodyText"/>
        <w:ind w:left="720" w:hanging="720"/>
        <w:rPr>
          <w:rFonts w:cs="Arial"/>
          <w:i w:val="0"/>
          <w:smallCaps/>
        </w:rPr>
      </w:pPr>
      <w:r w:rsidRPr="009035AE">
        <w:rPr>
          <w:rFonts w:cs="Arial"/>
          <w:i w:val="0"/>
        </w:rPr>
        <w:t>The relevant discretions are as follows:</w:t>
      </w:r>
    </w:p>
    <w:p w:rsidR="007858F1" w:rsidRPr="009035AE" w:rsidRDefault="007858F1" w:rsidP="007858F1">
      <w:pPr>
        <w:rPr>
          <w:rFonts w:ascii="Arial" w:hAnsi="Arial" w:cs="Arial"/>
          <w:b/>
          <w:bCs/>
          <w:caps/>
        </w:rPr>
      </w:pPr>
    </w:p>
    <w:p w:rsidR="007858F1" w:rsidRPr="009035AE" w:rsidRDefault="007858F1" w:rsidP="007858F1">
      <w:pPr>
        <w:rPr>
          <w:rFonts w:ascii="Arial" w:hAnsi="Arial" w:cs="Arial"/>
          <w:b/>
          <w:bCs/>
        </w:rPr>
      </w:pPr>
      <w:r w:rsidRPr="009035AE">
        <w:rPr>
          <w:rFonts w:ascii="Arial" w:hAnsi="Arial" w:cs="Arial"/>
          <w:b/>
          <w:bCs/>
        </w:rPr>
        <w:t xml:space="preserve">Part VI – The Effect of New Employment on Part IV Compensation </w:t>
      </w:r>
    </w:p>
    <w:p w:rsidR="007858F1" w:rsidRPr="00C32066" w:rsidRDefault="007858F1" w:rsidP="00EC7730">
      <w:pPr>
        <w:ind w:hanging="720"/>
        <w:rPr>
          <w:rFonts w:ascii="Arial" w:hAnsi="Arial" w:cs="Arial"/>
        </w:rPr>
      </w:pPr>
      <w:r w:rsidRPr="00C32066">
        <w:rPr>
          <w:rFonts w:ascii="Arial" w:hAnsi="Arial" w:cs="Arial"/>
        </w:rPr>
        <w:tab/>
      </w:r>
      <w:r w:rsidR="00C32066" w:rsidRPr="00C32066">
        <w:rPr>
          <w:rFonts w:ascii="Arial" w:hAnsi="Arial" w:cs="Arial"/>
        </w:rPr>
        <w:t>If a member who is receiving a compensatory added years pension in accordance with Part IV of these Regulations is re-employed by a LGPS employer then the annual pension resulting from the award of a credited period will be reduced, or suspended, if the combined total of earnings from the new employment and pensions in payment exceed the value of the current rate of pay of the member’s former employment.</w:t>
      </w:r>
    </w:p>
    <w:p w:rsidR="007858F1" w:rsidRPr="009035AE" w:rsidRDefault="0049121D" w:rsidP="005F4D07">
      <w:pPr>
        <w:ind w:hanging="720"/>
        <w:rPr>
          <w:rFonts w:ascii="Arial" w:hAnsi="Arial" w:cs="Arial"/>
        </w:rPr>
      </w:pPr>
      <w:r>
        <w:rPr>
          <w:rFonts w:ascii="Arial" w:hAnsi="Arial" w:cs="Arial"/>
        </w:rPr>
        <w:tab/>
      </w:r>
    </w:p>
    <w:p w:rsidR="007858F1" w:rsidRPr="009035AE" w:rsidRDefault="007858F1" w:rsidP="00EC7730">
      <w:pPr>
        <w:pStyle w:val="BodyTextIndent"/>
        <w:ind w:left="0"/>
      </w:pPr>
      <w:r w:rsidRPr="009035AE">
        <w:t>It should be noted that this adjustment is in addition to any adjustment that may be made to the basic LGPS pension as a result of re-</w:t>
      </w:r>
      <w:r>
        <w:t>e</w:t>
      </w:r>
      <w:r w:rsidRPr="009035AE">
        <w:t>mployment with a LGPS employer.   Oxfordshire County Council has a policy, which it is required to make under other Regulations</w:t>
      </w:r>
      <w:r w:rsidR="00EC7730">
        <w:t>,</w:t>
      </w:r>
      <w:r w:rsidRPr="009035AE">
        <w:t xml:space="preserve"> as the administering Authority for the Oxfordshire LGPS fund, which is </w:t>
      </w:r>
      <w:r>
        <w:t>not to abate the pensions of re-employed pensioner members.</w:t>
      </w:r>
    </w:p>
    <w:p w:rsidR="007858F1" w:rsidRPr="009035AE" w:rsidRDefault="007858F1" w:rsidP="007858F1">
      <w:pPr>
        <w:pStyle w:val="BodyTextIndent"/>
        <w:ind w:left="0"/>
      </w:pPr>
    </w:p>
    <w:p w:rsidR="007858F1" w:rsidRPr="009035AE" w:rsidRDefault="007858F1" w:rsidP="007858F1">
      <w:pPr>
        <w:pStyle w:val="BodyTextIndent"/>
        <w:ind w:hanging="720"/>
        <w:rPr>
          <w:b/>
          <w:bCs/>
        </w:rPr>
      </w:pPr>
      <w:r w:rsidRPr="009035AE">
        <w:rPr>
          <w:b/>
          <w:bCs/>
        </w:rPr>
        <w:t>Part VII – The effect of Cessation of New Employment on Part IV Compensation</w:t>
      </w:r>
    </w:p>
    <w:p w:rsidR="007858F1" w:rsidRPr="009035AE" w:rsidRDefault="007858F1" w:rsidP="00EC7730">
      <w:pPr>
        <w:pStyle w:val="BodyTextIndent"/>
        <w:ind w:left="0"/>
      </w:pPr>
      <w:r w:rsidRPr="009035AE">
        <w:t xml:space="preserve">After ceasing the re-employment the credited period will be adjusted or stopped altogether if the resulting pension from the re-employment and the basic LGPS pension from the first employment exceed the value of the pension which could have been paid if the member had remained in the first employment until age 65. </w:t>
      </w:r>
    </w:p>
    <w:p w:rsidR="007858F1" w:rsidRPr="009035AE" w:rsidRDefault="007858F1" w:rsidP="007858F1">
      <w:pPr>
        <w:pStyle w:val="BodyTextIndent"/>
        <w:ind w:left="0" w:firstLine="720"/>
        <w:rPr>
          <w:b/>
          <w:bCs/>
        </w:rPr>
      </w:pPr>
    </w:p>
    <w:p w:rsidR="007858F1" w:rsidRPr="009035AE" w:rsidRDefault="007858F1" w:rsidP="007858F1">
      <w:pPr>
        <w:pStyle w:val="BodyTextIndent"/>
        <w:ind w:left="0"/>
        <w:rPr>
          <w:b/>
          <w:bCs/>
        </w:rPr>
      </w:pPr>
      <w:r w:rsidRPr="009035AE">
        <w:rPr>
          <w:b/>
          <w:bCs/>
        </w:rPr>
        <w:t>Part VII – Awards to Surviving Spouses and Children</w:t>
      </w:r>
    </w:p>
    <w:p w:rsidR="007858F1" w:rsidRPr="009035AE" w:rsidRDefault="007858F1" w:rsidP="00EC7730">
      <w:pPr>
        <w:rPr>
          <w:rFonts w:ascii="Arial" w:hAnsi="Arial" w:cs="Arial"/>
        </w:rPr>
      </w:pPr>
      <w:r w:rsidRPr="009035AE">
        <w:rPr>
          <w:rFonts w:ascii="Arial" w:hAnsi="Arial" w:cs="Arial"/>
        </w:rPr>
        <w:t>Where more than one current, legal spouse has survived a deceased person, the annual compensatory added years pension will be divided equally.</w:t>
      </w:r>
    </w:p>
    <w:p w:rsidR="007858F1" w:rsidRPr="009035AE" w:rsidRDefault="007858F1" w:rsidP="00EC7730">
      <w:pPr>
        <w:rPr>
          <w:rFonts w:ascii="Arial" w:hAnsi="Arial" w:cs="Arial"/>
        </w:rPr>
      </w:pPr>
    </w:p>
    <w:p w:rsidR="007858F1" w:rsidRPr="009035AE" w:rsidRDefault="007858F1" w:rsidP="00EC7730">
      <w:pPr>
        <w:rPr>
          <w:rFonts w:ascii="Arial" w:hAnsi="Arial" w:cs="Arial"/>
        </w:rPr>
      </w:pPr>
      <w:r w:rsidRPr="009035AE">
        <w:rPr>
          <w:rFonts w:ascii="Arial" w:hAnsi="Arial" w:cs="Arial"/>
        </w:rPr>
        <w:t>A spouse’s pension will continue to be paid even if the spouse remarries or co-habits, unless at 1.4.98 a pension was already suspended due to remarriage.</w:t>
      </w:r>
    </w:p>
    <w:p w:rsidR="007858F1" w:rsidRPr="009035AE" w:rsidRDefault="007858F1" w:rsidP="00EC7730">
      <w:pPr>
        <w:rPr>
          <w:rFonts w:ascii="Arial" w:hAnsi="Arial" w:cs="Arial"/>
        </w:rPr>
      </w:pPr>
    </w:p>
    <w:p w:rsidR="007858F1" w:rsidRDefault="007858F1" w:rsidP="00EC7730">
      <w:pPr>
        <w:rPr>
          <w:rFonts w:ascii="Arial" w:hAnsi="Arial" w:cs="Arial"/>
        </w:rPr>
      </w:pPr>
      <w:r w:rsidRPr="009035AE">
        <w:rPr>
          <w:rFonts w:ascii="Arial" w:hAnsi="Arial" w:cs="Arial"/>
        </w:rPr>
        <w:t>In the very rare event of a children’s compensatory added years pension being payable in circumstances not covered by the main Pension Regulations full details will be supplied to the appropriate officer for a determination.</w:t>
      </w:r>
    </w:p>
    <w:p w:rsidR="00EC7730" w:rsidRPr="009035AE" w:rsidRDefault="00EC7730" w:rsidP="00EC7730">
      <w:pPr>
        <w:rPr>
          <w:rFonts w:ascii="Arial" w:hAnsi="Arial" w:cs="Arial"/>
        </w:rPr>
      </w:pPr>
    </w:p>
    <w:p w:rsidR="00935B98" w:rsidRPr="00EC7730" w:rsidRDefault="00EC7730" w:rsidP="00B21479">
      <w:pPr>
        <w:rPr>
          <w:rFonts w:ascii="Arial" w:hAnsi="Arial" w:cs="Arial"/>
          <w:b/>
        </w:rPr>
      </w:pPr>
      <w:r w:rsidRPr="00EC7730">
        <w:rPr>
          <w:rFonts w:ascii="Arial" w:hAnsi="Arial" w:cs="Arial"/>
          <w:b/>
        </w:rPr>
        <w:t>Review</w:t>
      </w:r>
    </w:p>
    <w:p w:rsidR="00935B98" w:rsidRPr="00EC7730" w:rsidRDefault="00935B98" w:rsidP="00B21479">
      <w:pPr>
        <w:rPr>
          <w:rFonts w:ascii="Arial" w:hAnsi="Arial" w:cs="Arial"/>
        </w:rPr>
      </w:pPr>
      <w:r w:rsidRPr="00EC7730">
        <w:rPr>
          <w:rFonts w:ascii="Arial" w:hAnsi="Arial" w:cs="Arial"/>
        </w:rPr>
        <w:t xml:space="preserve">The Council will review this policy at the same time that it reviews the Pensions and Retirement Policy Statement </w:t>
      </w:r>
      <w:r w:rsidR="005450D2" w:rsidRPr="00EC7730">
        <w:rPr>
          <w:rFonts w:ascii="Arial" w:hAnsi="Arial" w:cs="Arial"/>
        </w:rPr>
        <w:t>unless it becomes necessary to review at another time.</w:t>
      </w:r>
      <w:r w:rsidRPr="00EC7730">
        <w:rPr>
          <w:rFonts w:ascii="Arial" w:hAnsi="Arial" w:cs="Arial"/>
        </w:rPr>
        <w:t xml:space="preserve"> </w:t>
      </w:r>
    </w:p>
    <w:sectPr w:rsidR="00935B98" w:rsidRPr="00EC7730" w:rsidSect="00EC7730">
      <w:footerReference w:type="default" r:id="rId9"/>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79" w:rsidRDefault="00B21479" w:rsidP="00B21479">
      <w:r>
        <w:separator/>
      </w:r>
    </w:p>
  </w:endnote>
  <w:endnote w:type="continuationSeparator" w:id="0">
    <w:p w:rsidR="00B21479" w:rsidRDefault="00B2147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8C0177" w:rsidRDefault="00B21479" w:rsidP="00B21479">
    <w:pPr>
      <w:pStyle w:val="Footer"/>
      <w:rPr>
        <w:rFonts w:cs="Arial"/>
        <w:sz w:val="20"/>
        <w:szCs w:val="20"/>
      </w:rPr>
    </w:pPr>
    <w:r w:rsidRPr="008C0177">
      <w:rPr>
        <w:rFonts w:cs="Arial"/>
        <w:sz w:val="20"/>
        <w:szCs w:val="20"/>
      </w:rPr>
      <w:t>HR&amp;F20</w:t>
    </w:r>
    <w:r w:rsidR="000E4DCD">
      <w:rPr>
        <w:rFonts w:cs="Arial"/>
        <w:sz w:val="20"/>
        <w:szCs w:val="20"/>
      </w:rPr>
      <w:t>40</w:t>
    </w:r>
    <w:r w:rsidRPr="008C0177">
      <w:rPr>
        <w:rFonts w:cs="Arial"/>
        <w:sz w:val="20"/>
        <w:szCs w:val="20"/>
      </w:rPr>
      <w:t xml:space="preserve">   Version</w:t>
    </w:r>
    <w:proofErr w:type="gramStart"/>
    <w:r w:rsidRPr="008C0177">
      <w:rPr>
        <w:rFonts w:cs="Arial"/>
        <w:sz w:val="20"/>
        <w:szCs w:val="20"/>
      </w:rPr>
      <w:t>:</w:t>
    </w:r>
    <w:r w:rsidR="000E4DCD">
      <w:rPr>
        <w:rFonts w:cs="Arial"/>
        <w:sz w:val="20"/>
        <w:szCs w:val="20"/>
      </w:rPr>
      <w:t>0.1</w:t>
    </w:r>
    <w:proofErr w:type="gramEnd"/>
    <w:r w:rsidRPr="008C0177">
      <w:rPr>
        <w:rFonts w:cs="Arial"/>
        <w:sz w:val="20"/>
        <w:szCs w:val="20"/>
      </w:rPr>
      <w:t xml:space="preserve">    Dated: </w:t>
    </w:r>
    <w:r>
      <w:rPr>
        <w:rFonts w:cs="Arial"/>
        <w:sz w:val="20"/>
        <w:szCs w:val="20"/>
      </w:rPr>
      <w:t>1</w:t>
    </w:r>
    <w:r w:rsidR="000E4DCD">
      <w:rPr>
        <w:rFonts w:cs="Arial"/>
        <w:sz w:val="20"/>
        <w:szCs w:val="20"/>
      </w:rPr>
      <w:t>7</w:t>
    </w:r>
    <w:r>
      <w:rPr>
        <w:rFonts w:cs="Arial"/>
        <w:sz w:val="20"/>
        <w:szCs w:val="20"/>
      </w:rPr>
      <w:t>/</w:t>
    </w:r>
    <w:r w:rsidR="000E4DCD">
      <w:rPr>
        <w:rFonts w:cs="Arial"/>
        <w:sz w:val="20"/>
        <w:szCs w:val="20"/>
      </w:rPr>
      <w:t>03</w:t>
    </w:r>
    <w:r>
      <w:rPr>
        <w:rFonts w:cs="Arial"/>
        <w:sz w:val="20"/>
        <w:szCs w:val="20"/>
      </w:rPr>
      <w:t>/14</w:t>
    </w:r>
    <w:r>
      <w:rPr>
        <w:rFonts w:cs="Arial"/>
        <w:sz w:val="20"/>
        <w:szCs w:val="20"/>
      </w:rPr>
      <w:tab/>
      <w:t xml:space="preserve">          </w:t>
    </w:r>
    <w:r w:rsidRPr="008C0177">
      <w:rPr>
        <w:rFonts w:cs="Arial"/>
        <w:sz w:val="20"/>
        <w:szCs w:val="20"/>
      </w:rPr>
      <w:t>Authorised by:</w:t>
    </w:r>
    <w:r w:rsidR="00C1253A">
      <w:rPr>
        <w:rFonts w:cs="Arial"/>
        <w:sz w:val="20"/>
        <w:szCs w:val="20"/>
      </w:rPr>
      <w:t xml:space="preserve"> Simon </w:t>
    </w:r>
    <w:proofErr w:type="spellStart"/>
    <w:r w:rsidR="00C1253A">
      <w:rPr>
        <w:rFonts w:cs="Arial"/>
        <w:sz w:val="20"/>
        <w:szCs w:val="20"/>
      </w:rPr>
      <w:t>Howick</w:t>
    </w:r>
    <w:proofErr w:type="spellEnd"/>
    <w:r w:rsidRPr="008C0177">
      <w:rPr>
        <w:rFonts w:cs="Arial"/>
        <w:sz w:val="20"/>
        <w:szCs w:val="20"/>
      </w:rPr>
      <w:tab/>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285B65">
      <w:rPr>
        <w:rFonts w:cs="Arial"/>
        <w:b/>
        <w:bCs/>
        <w:noProof/>
        <w:sz w:val="20"/>
        <w:szCs w:val="20"/>
      </w:rPr>
      <w:t>1</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285B65">
      <w:rPr>
        <w:rFonts w:cs="Arial"/>
        <w:b/>
        <w:bCs/>
        <w:noProof/>
        <w:sz w:val="20"/>
        <w:szCs w:val="20"/>
      </w:rPr>
      <w:t>1</w:t>
    </w:r>
    <w:r w:rsidRPr="008C0177">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79" w:rsidRDefault="00B21479" w:rsidP="00B21479">
      <w:r>
        <w:separator/>
      </w:r>
    </w:p>
  </w:footnote>
  <w:footnote w:type="continuationSeparator" w:id="0">
    <w:p w:rsidR="00B21479" w:rsidRDefault="00B21479" w:rsidP="00B2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79"/>
    <w:rsid w:val="00053AA3"/>
    <w:rsid w:val="000B4310"/>
    <w:rsid w:val="000E4DCD"/>
    <w:rsid w:val="00285B65"/>
    <w:rsid w:val="003A1428"/>
    <w:rsid w:val="004000D7"/>
    <w:rsid w:val="00441ABE"/>
    <w:rsid w:val="0049121D"/>
    <w:rsid w:val="00504E43"/>
    <w:rsid w:val="005450D2"/>
    <w:rsid w:val="005F4D07"/>
    <w:rsid w:val="00690E9F"/>
    <w:rsid w:val="007858F1"/>
    <w:rsid w:val="007908F4"/>
    <w:rsid w:val="008A22C6"/>
    <w:rsid w:val="00917961"/>
    <w:rsid w:val="00935B98"/>
    <w:rsid w:val="00B21479"/>
    <w:rsid w:val="00BF53B8"/>
    <w:rsid w:val="00C07F80"/>
    <w:rsid w:val="00C1253A"/>
    <w:rsid w:val="00C32066"/>
    <w:rsid w:val="00E12289"/>
    <w:rsid w:val="00EC7730"/>
    <w:rsid w:val="00FC3FB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styleId="BodyText">
    <w:name w:val="Body Text"/>
    <w:basedOn w:val="Normal"/>
    <w:link w:val="BodyTextChar"/>
    <w:rsid w:val="007858F1"/>
    <w:rPr>
      <w:rFonts w:ascii="Arial" w:hAnsi="Arial"/>
      <w:i/>
      <w:iCs/>
      <w:lang w:eastAsia="en-US"/>
    </w:rPr>
  </w:style>
  <w:style w:type="character" w:customStyle="1" w:styleId="BodyTextChar">
    <w:name w:val="Body Text Char"/>
    <w:basedOn w:val="DefaultParagraphFont"/>
    <w:link w:val="BodyText"/>
    <w:rsid w:val="007858F1"/>
    <w:rPr>
      <w:rFonts w:eastAsia="Times New Roman" w:cs="Times New Roman"/>
      <w:i/>
      <w:iCs/>
    </w:rPr>
  </w:style>
  <w:style w:type="paragraph" w:styleId="BodyTextIndent">
    <w:name w:val="Body Text Indent"/>
    <w:basedOn w:val="Normal"/>
    <w:link w:val="BodyTextIndentChar"/>
    <w:rsid w:val="007858F1"/>
    <w:pPr>
      <w:ind w:left="720"/>
    </w:pPr>
    <w:rPr>
      <w:rFonts w:ascii="Arial" w:hAnsi="Arial" w:cs="Arial"/>
    </w:rPr>
  </w:style>
  <w:style w:type="character" w:customStyle="1" w:styleId="BodyTextIndentChar">
    <w:name w:val="Body Text Indent Char"/>
    <w:basedOn w:val="DefaultParagraphFont"/>
    <w:link w:val="BodyTextIndent"/>
    <w:rsid w:val="007858F1"/>
    <w:rPr>
      <w:rFonts w:eastAsia="Times New Roman"/>
      <w:lang w:eastAsia="en-GB"/>
    </w:rPr>
  </w:style>
  <w:style w:type="character" w:styleId="CommentReference">
    <w:name w:val="annotation reference"/>
    <w:rsid w:val="007858F1"/>
    <w:rPr>
      <w:sz w:val="16"/>
      <w:szCs w:val="16"/>
    </w:rPr>
  </w:style>
  <w:style w:type="paragraph" w:styleId="CommentText">
    <w:name w:val="annotation text"/>
    <w:basedOn w:val="Normal"/>
    <w:link w:val="CommentTextChar"/>
    <w:rsid w:val="007858F1"/>
    <w:rPr>
      <w:sz w:val="20"/>
      <w:szCs w:val="20"/>
    </w:rPr>
  </w:style>
  <w:style w:type="character" w:customStyle="1" w:styleId="CommentTextChar">
    <w:name w:val="Comment Text Char"/>
    <w:basedOn w:val="DefaultParagraphFont"/>
    <w:link w:val="CommentText"/>
    <w:rsid w:val="007858F1"/>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styleId="BodyText">
    <w:name w:val="Body Text"/>
    <w:basedOn w:val="Normal"/>
    <w:link w:val="BodyTextChar"/>
    <w:rsid w:val="007858F1"/>
    <w:rPr>
      <w:rFonts w:ascii="Arial" w:hAnsi="Arial"/>
      <w:i/>
      <w:iCs/>
      <w:lang w:eastAsia="en-US"/>
    </w:rPr>
  </w:style>
  <w:style w:type="character" w:customStyle="1" w:styleId="BodyTextChar">
    <w:name w:val="Body Text Char"/>
    <w:basedOn w:val="DefaultParagraphFont"/>
    <w:link w:val="BodyText"/>
    <w:rsid w:val="007858F1"/>
    <w:rPr>
      <w:rFonts w:eastAsia="Times New Roman" w:cs="Times New Roman"/>
      <w:i/>
      <w:iCs/>
    </w:rPr>
  </w:style>
  <w:style w:type="paragraph" w:styleId="BodyTextIndent">
    <w:name w:val="Body Text Indent"/>
    <w:basedOn w:val="Normal"/>
    <w:link w:val="BodyTextIndentChar"/>
    <w:rsid w:val="007858F1"/>
    <w:pPr>
      <w:ind w:left="720"/>
    </w:pPr>
    <w:rPr>
      <w:rFonts w:ascii="Arial" w:hAnsi="Arial" w:cs="Arial"/>
    </w:rPr>
  </w:style>
  <w:style w:type="character" w:customStyle="1" w:styleId="BodyTextIndentChar">
    <w:name w:val="Body Text Indent Char"/>
    <w:basedOn w:val="DefaultParagraphFont"/>
    <w:link w:val="BodyTextIndent"/>
    <w:rsid w:val="007858F1"/>
    <w:rPr>
      <w:rFonts w:eastAsia="Times New Roman"/>
      <w:lang w:eastAsia="en-GB"/>
    </w:rPr>
  </w:style>
  <w:style w:type="character" w:styleId="CommentReference">
    <w:name w:val="annotation reference"/>
    <w:rsid w:val="007858F1"/>
    <w:rPr>
      <w:sz w:val="16"/>
      <w:szCs w:val="16"/>
    </w:rPr>
  </w:style>
  <w:style w:type="paragraph" w:styleId="CommentText">
    <w:name w:val="annotation text"/>
    <w:basedOn w:val="Normal"/>
    <w:link w:val="CommentTextChar"/>
    <w:rsid w:val="007858F1"/>
    <w:rPr>
      <w:sz w:val="20"/>
      <w:szCs w:val="20"/>
    </w:rPr>
  </w:style>
  <w:style w:type="character" w:customStyle="1" w:styleId="CommentTextChar">
    <w:name w:val="Comment Text Char"/>
    <w:basedOn w:val="DefaultParagraphFont"/>
    <w:link w:val="CommentText"/>
    <w:rsid w:val="007858F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FE8C-481E-4AA9-9297-ACB29248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76A54624</Template>
  <TotalTime>1</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Mathew.Metcalfe</cp:lastModifiedBy>
  <cp:revision>2</cp:revision>
  <dcterms:created xsi:type="dcterms:W3CDTF">2014-04-02T09:51:00Z</dcterms:created>
  <dcterms:modified xsi:type="dcterms:W3CDTF">2014-04-02T09:51:00Z</dcterms:modified>
</cp:coreProperties>
</file>

<file path=docProps/custom.xml><?xml version="1.0" encoding="utf-8"?>
<op:Properties xmlns:op="http://schemas.openxmlformats.org/officeDocument/2006/custom-properties"/>
</file>